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8F7" w:rsidRDefault="007E28F7" w:rsidP="007E28F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УТВЕРЖДЕНЫ                                                                   решением Совета                                                              по антимонопольному комплаенсу                                                   Министерства образования и науки Забайкальского края        </w:t>
      </w:r>
    </w:p>
    <w:p w:rsidR="007E28F7" w:rsidRDefault="007E28F7" w:rsidP="007E28F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от «9» февраля 2023 г. № 3</w:t>
      </w:r>
    </w:p>
    <w:p w:rsidR="007E28F7" w:rsidRDefault="007E28F7" w:rsidP="007E28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28F7" w:rsidRDefault="007E28F7" w:rsidP="007E28F7">
      <w:pPr>
        <w:pStyle w:val="ConsPlusNormal"/>
        <w:tabs>
          <w:tab w:val="left" w:pos="3020"/>
          <w:tab w:val="center" w:pos="5032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7E28F7" w:rsidRPr="007E28F7" w:rsidRDefault="007E28F7" w:rsidP="007E28F7">
      <w:pPr>
        <w:pStyle w:val="ConsPlusNormal"/>
        <w:tabs>
          <w:tab w:val="left" w:pos="3020"/>
          <w:tab w:val="center" w:pos="5032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7E28F7">
        <w:rPr>
          <w:rFonts w:ascii="Times New Roman" w:hAnsi="Times New Roman" w:cs="Times New Roman"/>
          <w:b/>
          <w:sz w:val="28"/>
          <w:szCs w:val="28"/>
        </w:rPr>
        <w:t>КЛЮЧЕВЫЕ ПОКАЗАТЕЛИ</w:t>
      </w:r>
    </w:p>
    <w:p w:rsidR="007E28F7" w:rsidRPr="007E28F7" w:rsidRDefault="007E28F7" w:rsidP="007E28F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8F7">
        <w:rPr>
          <w:rFonts w:ascii="Times New Roman" w:hAnsi="Times New Roman" w:cs="Times New Roman"/>
          <w:b/>
          <w:sz w:val="28"/>
          <w:szCs w:val="28"/>
        </w:rPr>
        <w:t>эффективности функционирования в Министерстве образования и науки забайкальского края антимонопольного комплаенса</w:t>
      </w:r>
    </w:p>
    <w:p w:rsidR="007E28F7" w:rsidRDefault="007E28F7" w:rsidP="007E2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8F7" w:rsidRDefault="007E28F7" w:rsidP="007E2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Ключевыми показателями эффективности функционирования в Министерстве антимонопольного комплаенса являются:</w:t>
      </w:r>
    </w:p>
    <w:p w:rsidR="007E28F7" w:rsidRDefault="007E28F7" w:rsidP="007E2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количество нарушений антимонопольного законодательства со стороны Министерства за истекший период;</w:t>
      </w:r>
    </w:p>
    <w:p w:rsidR="007E28F7" w:rsidRDefault="007E28F7" w:rsidP="007E2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количество случаев привлечения должностных лиц Министерства к административной ответственности за нарушение антимонопольного законодательства;</w:t>
      </w:r>
    </w:p>
    <w:p w:rsidR="007E28F7" w:rsidRDefault="007E28F7" w:rsidP="007E2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в) количество нормативных правовых актов федерального органа исполнительной власти, в которых выявлены риски нарушения антимонопольного законодательства.</w:t>
      </w:r>
    </w:p>
    <w:p w:rsidR="007E28F7" w:rsidRDefault="007E28F7" w:rsidP="007E2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8F7" w:rsidRDefault="007E28F7" w:rsidP="007E28F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7E28F7" w:rsidRDefault="007E28F7" w:rsidP="007E2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E2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FELayout/>
  </w:compat>
  <w:rsids>
    <w:rsidRoot w:val="007E28F7"/>
    <w:rsid w:val="007E2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E28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3">
    <w:name w:val="Table Grid"/>
    <w:basedOn w:val="a1"/>
    <w:uiPriority w:val="39"/>
    <w:rsid w:val="007E28F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9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896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2024-02-12T03:26:00Z</dcterms:created>
  <dcterms:modified xsi:type="dcterms:W3CDTF">2024-02-12T03:28:00Z</dcterms:modified>
</cp:coreProperties>
</file>